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bCs/>
          <w:sz w:val="32"/>
          <w:szCs w:val="32"/>
          <w:lang w:val="en-US" w:eastAsia="zh-CN"/>
        </w:rPr>
      </w:pPr>
      <w:r>
        <w:rPr>
          <w:rFonts w:hint="eastAsia"/>
          <w:b/>
          <w:bCs/>
          <w:sz w:val="32"/>
          <w:szCs w:val="32"/>
          <w:lang w:val="en-US" w:eastAsia="zh-CN"/>
        </w:rPr>
        <w:t>四川省洪雅县天然气有限公司瓦屋山镇配气站项目</w:t>
      </w:r>
    </w:p>
    <w:p>
      <w:pPr>
        <w:spacing w:line="360" w:lineRule="auto"/>
        <w:jc w:val="center"/>
        <w:rPr>
          <w:rFonts w:hint="eastAsia"/>
          <w:b/>
          <w:bCs/>
          <w:sz w:val="32"/>
          <w:szCs w:val="32"/>
          <w:lang w:val="en-US" w:eastAsia="zh-CN"/>
        </w:rPr>
      </w:pPr>
      <w:r>
        <w:rPr>
          <w:rFonts w:hint="eastAsia"/>
          <w:b/>
          <w:bCs/>
          <w:sz w:val="32"/>
          <w:szCs w:val="32"/>
          <w:lang w:val="en-US" w:eastAsia="zh-CN"/>
        </w:rPr>
        <w:t>竣工环境保护验收公示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b w:val="0"/>
          <w:bCs w:val="0"/>
          <w:sz w:val="24"/>
          <w:szCs w:val="24"/>
          <w:lang w:val="en-US" w:eastAsia="zh-CN"/>
        </w:rPr>
      </w:pPr>
      <w:r>
        <w:rPr>
          <w:rFonts w:hint="eastAsia"/>
          <w:b w:val="0"/>
          <w:bCs w:val="0"/>
          <w:sz w:val="24"/>
          <w:szCs w:val="24"/>
          <w:lang w:val="en-US" w:eastAsia="zh-CN"/>
        </w:rPr>
        <w:t>公示时间：</w:t>
      </w:r>
      <w:r>
        <w:rPr>
          <w:rFonts w:hint="default" w:ascii="Times New Roman" w:hAnsi="Times New Roman" w:cs="Times New Roman"/>
          <w:b w:val="0"/>
          <w:bCs w:val="0"/>
          <w:sz w:val="24"/>
          <w:szCs w:val="24"/>
          <w:lang w:val="en-US" w:eastAsia="zh-CN"/>
        </w:rPr>
        <w:t>201</w:t>
      </w:r>
      <w:r>
        <w:rPr>
          <w:rFonts w:hint="eastAsia" w:ascii="Times New Roman" w:hAnsi="Times New Roman" w:cs="Times New Roman"/>
          <w:b w:val="0"/>
          <w:bCs w:val="0"/>
          <w:sz w:val="24"/>
          <w:szCs w:val="24"/>
          <w:lang w:val="en-US" w:eastAsia="zh-CN"/>
        </w:rPr>
        <w:t>9</w:t>
      </w:r>
      <w:r>
        <w:rPr>
          <w:rFonts w:hint="default" w:ascii="Times New Roman" w:hAnsi="Times New Roman" w:cs="Times New Roman"/>
          <w:b w:val="0"/>
          <w:bCs w:val="0"/>
          <w:sz w:val="24"/>
          <w:szCs w:val="24"/>
          <w:lang w:val="en-US" w:eastAsia="zh-CN"/>
        </w:rPr>
        <w:t>年</w:t>
      </w:r>
      <w:r>
        <w:rPr>
          <w:rFonts w:hint="eastAsia" w:ascii="Times New Roman" w:hAnsi="Times New Roman" w:cs="Times New Roman"/>
          <w:b w:val="0"/>
          <w:bCs w:val="0"/>
          <w:sz w:val="24"/>
          <w:szCs w:val="24"/>
          <w:lang w:val="en-US" w:eastAsia="zh-CN"/>
        </w:rPr>
        <w:t>03</w:t>
      </w:r>
      <w:r>
        <w:rPr>
          <w:rFonts w:hint="default" w:ascii="Times New Roman" w:hAnsi="Times New Roman" w:cs="Times New Roman"/>
          <w:b w:val="0"/>
          <w:bCs w:val="0"/>
          <w:sz w:val="24"/>
          <w:szCs w:val="24"/>
          <w:lang w:val="en-US" w:eastAsia="zh-CN"/>
        </w:rPr>
        <w:t>月</w:t>
      </w:r>
      <w:r>
        <w:rPr>
          <w:rFonts w:hint="eastAsia" w:ascii="Times New Roman" w:hAnsi="Times New Roman" w:cs="Times New Roman"/>
          <w:b w:val="0"/>
          <w:bCs w:val="0"/>
          <w:sz w:val="24"/>
          <w:szCs w:val="24"/>
          <w:lang w:val="en-US" w:eastAsia="zh-CN"/>
        </w:rPr>
        <w:t>11</w:t>
      </w:r>
      <w:r>
        <w:rPr>
          <w:rFonts w:hint="default" w:ascii="Times New Roman" w:hAnsi="Times New Roman" w:cs="Times New Roman"/>
          <w:b w:val="0"/>
          <w:bCs w:val="0"/>
          <w:sz w:val="24"/>
          <w:szCs w:val="24"/>
          <w:lang w:val="en-US" w:eastAsia="zh-CN"/>
        </w:rPr>
        <w:t>日-</w:t>
      </w:r>
      <w:r>
        <w:rPr>
          <w:rFonts w:hint="eastAsia" w:ascii="Times New Roman" w:hAnsi="Times New Roman" w:cs="Times New Roman"/>
          <w:b w:val="0"/>
          <w:bCs w:val="0"/>
          <w:sz w:val="24"/>
          <w:szCs w:val="24"/>
          <w:lang w:val="en-US" w:eastAsia="zh-CN"/>
        </w:rPr>
        <w:t>04</w:t>
      </w:r>
      <w:r>
        <w:rPr>
          <w:rFonts w:hint="default" w:ascii="Times New Roman" w:hAnsi="Times New Roman" w:cs="Times New Roman"/>
          <w:b w:val="0"/>
          <w:bCs w:val="0"/>
          <w:sz w:val="24"/>
          <w:szCs w:val="24"/>
          <w:lang w:val="en-US" w:eastAsia="zh-CN"/>
        </w:rPr>
        <w:t>月</w:t>
      </w:r>
      <w:r>
        <w:rPr>
          <w:rFonts w:hint="eastAsia" w:ascii="Times New Roman" w:hAnsi="Times New Roman" w:cs="Times New Roman"/>
          <w:b w:val="0"/>
          <w:bCs w:val="0"/>
          <w:sz w:val="24"/>
          <w:szCs w:val="24"/>
          <w:lang w:val="en-US" w:eastAsia="zh-CN"/>
        </w:rPr>
        <w:t>08</w:t>
      </w:r>
      <w:r>
        <w:rPr>
          <w:rFonts w:hint="default" w:ascii="Times New Roman" w:hAnsi="Times New Roman" w:cs="Times New Roman"/>
          <w:b w:val="0"/>
          <w:bCs w:val="0"/>
          <w:sz w:val="24"/>
          <w:szCs w:val="24"/>
          <w:lang w:val="en-US" w:eastAsia="zh-CN"/>
        </w:rPr>
        <w:t>日</w:t>
      </w:r>
      <w:r>
        <w:rPr>
          <w:rFonts w:hint="eastAsia" w:ascii="Times New Roman" w:hAnsi="Times New Roman" w:cs="Times New Roman"/>
          <w:b w:val="0"/>
          <w:bCs w:val="0"/>
          <w:sz w:val="24"/>
          <w:szCs w:val="24"/>
          <w:lang w:val="en-US" w:eastAsia="zh-CN"/>
        </w:rPr>
        <w:t>（20个工作日）</w:t>
      </w:r>
      <w:r>
        <w:rPr>
          <w:rFonts w:hint="eastAsia"/>
          <w:b w:val="0"/>
          <w:bCs w:val="0"/>
          <w:sz w:val="24"/>
          <w:szCs w:val="24"/>
          <w:lang w:val="en-US" w:eastAsia="zh-CN"/>
        </w:rPr>
        <w:t>。</w:t>
      </w:r>
    </w:p>
    <w:p>
      <w:pPr>
        <w:numPr>
          <w:numId w:val="0"/>
        </w:numPr>
        <w:spacing w:line="360" w:lineRule="auto"/>
        <w:rPr>
          <w:rFonts w:hint="eastAsia"/>
          <w:lang w:val="en-US" w:eastAsia="zh-CN"/>
        </w:rPr>
      </w:pPr>
      <w:r>
        <w:rPr>
          <w:rFonts w:hint="eastAsia"/>
          <w:lang w:val="en-US" w:eastAsia="zh-CN"/>
        </w:rPr>
        <w:t>一、项目基本情况</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项目位于</w:t>
      </w:r>
      <w:r>
        <w:rPr>
          <w:rFonts w:hint="default" w:ascii="Times New Roman" w:hAnsi="Times New Roman" w:eastAsia="宋体" w:cs="Times New Roman"/>
          <w:sz w:val="21"/>
          <w:szCs w:val="21"/>
        </w:rPr>
        <w:t>眉山市洪雅县</w:t>
      </w:r>
      <w:r>
        <w:rPr>
          <w:rFonts w:hint="default" w:ascii="Times New Roman" w:hAnsi="Times New Roman" w:eastAsia="宋体" w:cs="Times New Roman"/>
          <w:sz w:val="21"/>
          <w:szCs w:val="21"/>
          <w:lang w:eastAsia="zh-CN"/>
        </w:rPr>
        <w:t>瓦屋山镇新寺村</w:t>
      </w:r>
      <w:r>
        <w:rPr>
          <w:rFonts w:hint="default" w:ascii="Times New Roman" w:hAnsi="Times New Roman" w:eastAsia="宋体" w:cs="Times New Roman"/>
          <w:sz w:val="21"/>
          <w:szCs w:val="21"/>
          <w:lang w:val="en-US" w:eastAsia="zh-CN"/>
        </w:rPr>
        <w:t>3组。主要建设瓦屋山镇配气站项目。包括主体工程、公用工程、辅助工程、办公及生活设施、环保工程。</w:t>
      </w:r>
      <w:r>
        <w:rPr>
          <w:rFonts w:hint="default" w:ascii="Times New Roman" w:hAnsi="Times New Roman" w:eastAsia="宋体" w:cs="Times New Roman"/>
          <w:sz w:val="21"/>
          <w:szCs w:val="21"/>
        </w:rPr>
        <w:t>该项目总投资</w:t>
      </w:r>
      <w:r>
        <w:rPr>
          <w:rFonts w:hint="default" w:ascii="Times New Roman" w:hAnsi="Times New Roman" w:eastAsia="宋体" w:cs="Times New Roman"/>
          <w:sz w:val="21"/>
          <w:szCs w:val="21"/>
          <w:lang w:val="en-US" w:eastAsia="zh-CN"/>
        </w:rPr>
        <w:t>700</w:t>
      </w:r>
      <w:r>
        <w:rPr>
          <w:rFonts w:hint="default" w:ascii="Times New Roman" w:hAnsi="Times New Roman" w:eastAsia="宋体" w:cs="Times New Roman"/>
          <w:sz w:val="21"/>
          <w:szCs w:val="21"/>
        </w:rPr>
        <w:t>万元，环境保护投资</w:t>
      </w:r>
      <w:r>
        <w:rPr>
          <w:rFonts w:hint="default" w:ascii="Times New Roman" w:hAnsi="Times New Roman" w:eastAsia="宋体" w:cs="Times New Roman"/>
          <w:sz w:val="21"/>
          <w:szCs w:val="21"/>
          <w:lang w:val="en-US" w:eastAsia="zh-CN"/>
        </w:rPr>
        <w:t>16.7</w:t>
      </w:r>
      <w:r>
        <w:rPr>
          <w:rFonts w:hint="default" w:ascii="Times New Roman" w:hAnsi="Times New Roman" w:eastAsia="宋体" w:cs="Times New Roman"/>
          <w:sz w:val="21"/>
          <w:szCs w:val="21"/>
        </w:rPr>
        <w:t>万元，占总投资的</w:t>
      </w:r>
      <w:r>
        <w:rPr>
          <w:rFonts w:hint="default" w:ascii="Times New Roman" w:hAnsi="Times New Roman" w:eastAsia="宋体" w:cs="Times New Roman"/>
          <w:sz w:val="21"/>
          <w:szCs w:val="21"/>
          <w:lang w:val="en-US" w:eastAsia="zh-CN"/>
        </w:rPr>
        <w:t>2.39</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w:t>
      </w:r>
    </w:p>
    <w:p>
      <w:pPr>
        <w:numPr>
          <w:numId w:val="0"/>
        </w:numPr>
        <w:spacing w:line="360" w:lineRule="auto"/>
        <w:ind w:left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二、</w:t>
      </w:r>
      <w:r>
        <w:rPr>
          <w:rFonts w:hint="default" w:ascii="Times New Roman" w:hAnsi="Times New Roman" w:eastAsia="宋体" w:cs="Times New Roman"/>
          <w:sz w:val="21"/>
          <w:szCs w:val="21"/>
          <w:lang w:val="en-US" w:eastAsia="zh-CN"/>
        </w:rPr>
        <w:t>环保设施落实情况</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废水：本项目废水主要为生活污水和设备清洗废水。生活污水进入化粪池处理后用于站区绿化；设备清洗废水收集后委外处理。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废气：本项目产生的废气主要为放散气体，包括储罐卸压和槽车卸车后卸压排放的BOG以及汽车尾气。放散气体浓度较低，自然扩散即可。</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噪声：</w:t>
      </w:r>
      <w:r>
        <w:rPr>
          <w:rFonts w:hint="default" w:ascii="Times New Roman" w:hAnsi="Times New Roman" w:eastAsia="宋体" w:cs="Times New Roman"/>
          <w:color w:val="auto"/>
          <w:sz w:val="21"/>
          <w:szCs w:val="21"/>
          <w:highlight w:val="none"/>
          <w:lang w:val="en-US" w:eastAsia="zh-CN"/>
        </w:rPr>
        <w:t>本项目营运期噪声主要为</w:t>
      </w:r>
      <w:r>
        <w:rPr>
          <w:rFonts w:hint="default" w:ascii="Times New Roman" w:hAnsi="Times New Roman" w:eastAsia="宋体" w:cs="Times New Roman"/>
          <w:spacing w:val="8"/>
          <w:sz w:val="21"/>
          <w:szCs w:val="21"/>
        </w:rPr>
        <w:t>调压设备运行时产生的设备噪声、进出车辆噪声、放散产生的空气动力噪声</w:t>
      </w:r>
      <w:r>
        <w:rPr>
          <w:rFonts w:hint="default" w:ascii="Times New Roman" w:hAnsi="Times New Roman" w:eastAsia="宋体" w:cs="Times New Roman"/>
          <w:color w:val="auto"/>
          <w:sz w:val="21"/>
          <w:szCs w:val="21"/>
          <w:highlight w:val="none"/>
          <w:lang w:val="en-US" w:eastAsia="zh-CN"/>
        </w:rPr>
        <w:t>。本项目采用了选用低噪声设备、合理布置高噪声设备、控制车辆速度等方法来降低噪声的产生</w:t>
      </w:r>
      <w:r>
        <w:rPr>
          <w:rFonts w:hint="default" w:ascii="Times New Roman" w:hAnsi="Times New Roman" w:eastAsia="宋体" w:cs="Times New Roman"/>
          <w:sz w:val="21"/>
          <w:szCs w:val="21"/>
          <w:lang w:eastAsia="zh-CN"/>
        </w:rPr>
        <w:t>。</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固体废物：</w:t>
      </w:r>
      <w:r>
        <w:rPr>
          <w:rFonts w:hint="default" w:ascii="Times New Roman" w:hAnsi="Times New Roman" w:eastAsia="宋体" w:cs="Times New Roman"/>
          <w:color w:val="auto"/>
          <w:sz w:val="21"/>
          <w:szCs w:val="21"/>
          <w:highlight w:val="none"/>
          <w:lang w:eastAsia="zh-CN"/>
        </w:rPr>
        <w:t>本项目的固废主要为一般固废，包括生活垃圾和化粪池污泥。生活垃圾和化粪池污泥均统一由环卫部门清运</w:t>
      </w:r>
      <w:r>
        <w:rPr>
          <w:rFonts w:hint="default" w:ascii="Times New Roman" w:hAnsi="Times New Roman" w:eastAsia="宋体" w:cs="Times New Roman"/>
          <w:sz w:val="21"/>
          <w:szCs w:val="21"/>
          <w:lang w:val="en-US" w:eastAsia="zh-CN"/>
        </w:rPr>
        <w:t>。</w:t>
      </w:r>
    </w:p>
    <w:p>
      <w:pPr>
        <w:numPr>
          <w:numId w:val="0"/>
        </w:numPr>
        <w:spacing w:line="360" w:lineRule="auto"/>
        <w:ind w:left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三、</w:t>
      </w:r>
      <w:r>
        <w:rPr>
          <w:rFonts w:hint="default" w:ascii="Times New Roman" w:hAnsi="Times New Roman" w:eastAsia="宋体" w:cs="Times New Roman"/>
          <w:sz w:val="21"/>
          <w:szCs w:val="21"/>
          <w:lang w:val="en-US" w:eastAsia="zh-CN"/>
        </w:rPr>
        <w:t>监测结果</w:t>
      </w:r>
    </w:p>
    <w:p>
      <w:pPr>
        <w:spacing w:line="360" w:lineRule="auto"/>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根据四川省中晟环保科技有限公司</w:t>
      </w:r>
      <w:r>
        <w:rPr>
          <w:rFonts w:hint="default" w:ascii="Times New Roman" w:hAnsi="Times New Roman" w:eastAsia="宋体" w:cs="Times New Roman"/>
          <w:sz w:val="21"/>
          <w:szCs w:val="21"/>
          <w:lang w:val="en-US" w:eastAsia="zh-CN"/>
        </w:rPr>
        <w:t>编制的《四川省洪雅县天然气有限公司瓦屋山镇配气站项目竣工环境保护验收监测表》（中晟验字（2019）第018号），验收监测结论如下：</w:t>
      </w:r>
    </w:p>
    <w:p>
      <w:pPr>
        <w:spacing w:line="360" w:lineRule="auto"/>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（一）废气</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color w:val="auto"/>
          <w:sz w:val="21"/>
          <w:szCs w:val="21"/>
          <w:highlight w:val="none"/>
          <w:lang w:eastAsia="zh-CN"/>
        </w:rPr>
        <w:t>验收监测期间，</w:t>
      </w:r>
      <w:r>
        <w:rPr>
          <w:rFonts w:hint="default" w:ascii="Times New Roman" w:hAnsi="Times New Roman" w:eastAsia="宋体" w:cs="Times New Roman"/>
          <w:b w:val="0"/>
          <w:bCs/>
          <w:color w:val="auto"/>
          <w:sz w:val="21"/>
          <w:szCs w:val="21"/>
          <w:highlight w:val="none"/>
          <w:lang w:val="en-US" w:eastAsia="zh-CN"/>
        </w:rPr>
        <w:t>无组织废气中</w:t>
      </w:r>
      <w:r>
        <w:rPr>
          <w:rFonts w:hint="default" w:ascii="Times New Roman" w:hAnsi="Times New Roman" w:eastAsia="宋体" w:cs="Times New Roman"/>
          <w:b w:val="0"/>
          <w:bCs/>
          <w:sz w:val="21"/>
          <w:szCs w:val="21"/>
          <w:lang w:eastAsia="zh-CN"/>
        </w:rPr>
        <w:t>颗粒物、二氧化硫、氮氧化物指标浓度满足</w:t>
      </w:r>
      <w:r>
        <w:rPr>
          <w:rFonts w:hint="default" w:ascii="Times New Roman" w:hAnsi="Times New Roman" w:eastAsia="宋体" w:cs="Times New Roman"/>
          <w:b w:val="0"/>
          <w:bCs/>
          <w:color w:val="000000"/>
          <w:sz w:val="21"/>
          <w:szCs w:val="21"/>
        </w:rPr>
        <w:t>《大气污染物综合排放标准》（GB 16297-1996）表2</w:t>
      </w:r>
      <w:r>
        <w:rPr>
          <w:rFonts w:hint="default" w:ascii="Times New Roman" w:hAnsi="Times New Roman" w:eastAsia="宋体" w:cs="Times New Roman"/>
          <w:b w:val="0"/>
          <w:bCs/>
          <w:sz w:val="21"/>
          <w:szCs w:val="21"/>
        </w:rPr>
        <w:t>无组织排放监控浓度限值</w:t>
      </w:r>
      <w:r>
        <w:rPr>
          <w:rFonts w:hint="default" w:ascii="Times New Roman" w:hAnsi="Times New Roman" w:eastAsia="宋体" w:cs="Times New Roman"/>
          <w:sz w:val="21"/>
          <w:szCs w:val="21"/>
          <w:lang w:val="en-US" w:eastAsia="zh-CN"/>
        </w:rPr>
        <w:t>。</w:t>
      </w:r>
    </w:p>
    <w:p>
      <w:pPr>
        <w:spacing w:line="360" w:lineRule="auto"/>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（二）废水</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color w:val="auto"/>
          <w:sz w:val="21"/>
          <w:szCs w:val="21"/>
          <w:lang w:eastAsia="zh-CN"/>
        </w:rPr>
        <w:t>本项目废水仅为生活污水，化粪池处理后用于站区绿化用水，不外排</w:t>
      </w:r>
      <w:r>
        <w:rPr>
          <w:rFonts w:hint="default" w:ascii="Times New Roman" w:hAnsi="Times New Roman" w:eastAsia="宋体" w:cs="Times New Roman"/>
          <w:sz w:val="21"/>
          <w:szCs w:val="21"/>
          <w:lang w:val="en-US" w:eastAsia="zh-CN"/>
        </w:rPr>
        <w:t>。</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（三）噪声</w:t>
      </w:r>
    </w:p>
    <w:p>
      <w:pPr>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b w:val="0"/>
          <w:bCs/>
          <w:color w:val="auto"/>
          <w:sz w:val="21"/>
          <w:szCs w:val="21"/>
          <w:highlight w:val="none"/>
          <w:lang w:eastAsia="zh-CN"/>
        </w:rPr>
        <w:t>验收监测期间，该项目监测点位昼间、夜间厂界噪声满足《工业企业厂界环境噪声排放标准》（GB 12348-2008）</w:t>
      </w:r>
      <w:r>
        <w:rPr>
          <w:rFonts w:hint="default" w:ascii="Times New Roman" w:hAnsi="Times New Roman" w:eastAsia="宋体"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lang w:eastAsia="zh-CN"/>
        </w:rPr>
        <w:t>类标准要求</w:t>
      </w:r>
      <w:r>
        <w:rPr>
          <w:rFonts w:hint="default" w:ascii="Times New Roman" w:hAnsi="Times New Roman" w:eastAsia="宋体" w:cs="Times New Roman"/>
          <w:sz w:val="21"/>
          <w:szCs w:val="21"/>
          <w:lang w:val="en-US" w:eastAsia="zh-CN"/>
        </w:rPr>
        <w:t>。</w:t>
      </w:r>
    </w:p>
    <w:p>
      <w:pPr>
        <w:numPr>
          <w:numId w:val="0"/>
        </w:numPr>
        <w:spacing w:line="360" w:lineRule="auto"/>
        <w:ind w:leftChars="0"/>
        <w:rPr>
          <w:rFonts w:hint="eastAsia"/>
          <w:lang w:val="en-US" w:eastAsia="zh-CN"/>
        </w:rPr>
      </w:pPr>
      <w:r>
        <w:rPr>
          <w:rFonts w:hint="eastAsia"/>
          <w:lang w:val="en-US" w:eastAsia="zh-CN"/>
        </w:rPr>
        <w:t>四、文档和环保机构情况</w:t>
      </w:r>
    </w:p>
    <w:p>
      <w:pPr>
        <w:ind w:firstLine="420" w:firstLineChars="200"/>
        <w:rPr>
          <w:rFonts w:hint="eastAsia" w:ascii="Times New Roman" w:hAnsi="Times New Roman" w:cs="Times New Roman"/>
          <w:lang w:val="en-US" w:eastAsia="zh-CN"/>
        </w:rPr>
      </w:pPr>
      <w:r>
        <w:rPr>
          <w:rFonts w:hint="eastAsia"/>
          <w:lang w:val="en-US" w:eastAsia="zh-CN"/>
        </w:rPr>
        <w:t>企</w:t>
      </w:r>
      <w:r>
        <w:rPr>
          <w:rFonts w:hint="eastAsia" w:ascii="Times New Roman" w:hAnsi="Times New Roman" w:cs="Times New Roman"/>
          <w:lang w:val="en-US" w:eastAsia="zh-CN"/>
        </w:rPr>
        <w:t>业</w:t>
      </w:r>
      <w:r>
        <w:rPr>
          <w:rFonts w:hint="default" w:ascii="Times New Roman" w:hAnsi="Times New Roman" w:cs="Times New Roman"/>
          <w:lang w:val="en-US" w:eastAsia="zh-CN"/>
        </w:rPr>
        <w:t>环境保护管理制度较健全，具有兼职环保工作人员1人，环保资料基本齐全</w:t>
      </w:r>
      <w:r>
        <w:rPr>
          <w:rFonts w:hint="eastAsia" w:ascii="Times New Roman" w:hAnsi="Times New Roman" w:cs="Times New Roman"/>
          <w:lang w:val="en-US" w:eastAsia="zh-CN"/>
        </w:rPr>
        <w:t>。</w:t>
      </w:r>
    </w:p>
    <w:p>
      <w:pPr>
        <w:numPr>
          <w:numId w:val="0"/>
        </w:numPr>
        <w:spacing w:line="360" w:lineRule="auto"/>
        <w:ind w:leftChars="0"/>
        <w:rPr>
          <w:rFonts w:hint="eastAsia"/>
          <w:lang w:val="en-US" w:eastAsia="zh-CN"/>
        </w:rPr>
      </w:pPr>
      <w:r>
        <w:rPr>
          <w:rFonts w:hint="eastAsia"/>
          <w:lang w:val="en-US" w:eastAsia="zh-CN"/>
        </w:rPr>
        <w:t>五、</w:t>
      </w:r>
      <w:bookmarkStart w:id="0" w:name="_GoBack"/>
      <w:bookmarkEnd w:id="0"/>
      <w:r>
        <w:rPr>
          <w:rFonts w:hint="eastAsia"/>
          <w:lang w:val="en-US" w:eastAsia="zh-CN"/>
        </w:rPr>
        <w:t>联系方式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建设单位：</w:t>
      </w:r>
      <w:r>
        <w:rPr>
          <w:rFonts w:hint="eastAsia" w:ascii="Times New Roman" w:hAnsi="Times New Roman" w:cs="Times New Roman"/>
          <w:lang w:val="en-US" w:eastAsia="zh-CN"/>
        </w:rPr>
        <w:t>四川省洪雅县天然气有限公司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联系方式：</w:t>
      </w:r>
      <w:r>
        <w:rPr>
          <w:rFonts w:hint="eastAsia" w:ascii="Times New Roman" w:hAnsi="Times New Roman" w:cs="Times New Roman"/>
          <w:lang w:val="en-US" w:eastAsia="zh-CN"/>
        </w:rPr>
        <w:t>18990337529</w:t>
      </w:r>
      <w:r>
        <w:rPr>
          <w:rFonts w:hint="default" w:ascii="Times New Roman" w:hAnsi="Times New Roman" w:cs="Times New Roman"/>
          <w:lang w:val="en-US" w:eastAsia="zh-CN"/>
        </w:rPr>
        <w:t>（</w:t>
      </w:r>
      <w:r>
        <w:rPr>
          <w:rFonts w:hint="eastAsia" w:ascii="Times New Roman" w:hAnsi="Times New Roman" w:cs="Times New Roman"/>
          <w:lang w:val="en-US" w:eastAsia="zh-CN"/>
        </w:rPr>
        <w:t>彭主任</w:t>
      </w:r>
      <w:r>
        <w:rPr>
          <w:rFonts w:hint="default" w:ascii="Times New Roman" w:hAnsi="Times New Roman" w:cs="Times New Roman"/>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验收监测单位：四川省中晟环保科技有限公司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联系方式：028-38566688（</w:t>
      </w:r>
      <w:r>
        <w:rPr>
          <w:rFonts w:hint="eastAsia" w:ascii="Times New Roman" w:hAnsi="Times New Roman" w:cs="Times New Roman"/>
          <w:lang w:val="en-US" w:eastAsia="zh-CN"/>
        </w:rPr>
        <w:t>余</w:t>
      </w:r>
      <w:r>
        <w:rPr>
          <w:rFonts w:hint="default" w:ascii="Times New Roman" w:hAnsi="Times New Roman" w:cs="Times New Roman"/>
          <w:lang w:val="en-US" w:eastAsia="zh-CN"/>
        </w:rPr>
        <w:t>先生）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7222CF"/>
    <w:rsid w:val="0B9737E6"/>
    <w:rsid w:val="11215B04"/>
    <w:rsid w:val="1F216451"/>
    <w:rsid w:val="24157885"/>
    <w:rsid w:val="27BC6C57"/>
    <w:rsid w:val="2ABC57D1"/>
    <w:rsid w:val="2D0738A1"/>
    <w:rsid w:val="34102A5C"/>
    <w:rsid w:val="373A1090"/>
    <w:rsid w:val="382A721E"/>
    <w:rsid w:val="40A62625"/>
    <w:rsid w:val="4C134458"/>
    <w:rsid w:val="4D525382"/>
    <w:rsid w:val="65CA0812"/>
    <w:rsid w:val="6F757665"/>
    <w:rsid w:val="7194609F"/>
    <w:rsid w:val="770F32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表格单位"/>
    <w:basedOn w:val="1"/>
    <w:link w:val="5"/>
    <w:qFormat/>
    <w:uiPriority w:val="0"/>
    <w:pPr>
      <w:spacing w:line="240" w:lineRule="auto"/>
      <w:jc w:val="right"/>
    </w:pPr>
    <w:rPr>
      <w:rFonts w:ascii="Times New Roman" w:hAnsi="Times New Roman" w:eastAsia="宋体"/>
      <w:b/>
      <w:sz w:val="18"/>
    </w:rPr>
  </w:style>
  <w:style w:type="character" w:customStyle="1" w:styleId="5">
    <w:name w:val="表格单位 Char"/>
    <w:link w:val="4"/>
    <w:qFormat/>
    <w:uiPriority w:val="0"/>
    <w:rPr>
      <w:rFonts w:ascii="Times New Roman" w:hAnsi="Times New Roman" w:eastAsia="宋体"/>
      <w:b/>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2019-03-11T07:33:29Z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